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Силы», 11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84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тура: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Апрель*: 30</w:t>
      </w:r>
    </w:p>
    <w:p w:rsidR="00000000" w:rsidDel="00000000" w:rsidP="00000000" w:rsidRDefault="00000000" w:rsidRPr="00000000" w14:paraId="00000004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Май*: 07, 14, 21, 28</w:t>
      </w:r>
    </w:p>
    <w:p w:rsidR="00000000" w:rsidDel="00000000" w:rsidP="00000000" w:rsidRDefault="00000000" w:rsidRPr="00000000" w14:paraId="00000005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Июнь: 04, 11, 18, 25</w:t>
      </w:r>
    </w:p>
    <w:p w:rsidR="00000000" w:rsidDel="00000000" w:rsidP="00000000" w:rsidRDefault="00000000" w:rsidRPr="00000000" w14:paraId="00000006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Июль: 02, 09, 16, 23, 30</w:t>
      </w:r>
    </w:p>
    <w:p w:rsidR="00000000" w:rsidDel="00000000" w:rsidP="00000000" w:rsidRDefault="00000000" w:rsidRPr="00000000" w14:paraId="00000007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Август: 06, 13, 20, 27</w:t>
      </w:r>
    </w:p>
    <w:p w:rsidR="00000000" w:rsidDel="00000000" w:rsidP="00000000" w:rsidRDefault="00000000" w:rsidRPr="00000000" w14:paraId="00000008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Сентябрь: 03, 10, 17,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10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 включает в себя 7 различных экскурсий по удивительным местам Алтая.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</w:t>
        <w:br w:type="textWrapping"/>
        <w:t xml:space="preserve">Гости гарантировано получат полный спектр заявленных экскурсий за время проведения тура.</w:t>
      </w:r>
    </w:p>
    <w:p w:rsidR="00000000" w:rsidDel="00000000" w:rsidP="00000000" w:rsidRDefault="00000000" w:rsidRPr="00000000" w14:paraId="00000010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* во всех наших программах до 03 июня 2023 года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1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2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3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4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Завтрак в отеле.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6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7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8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9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A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Протяжённость: авто 80 км, пешком 1 км.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Телецкое озеро — водопады Киште и Корбу — Каракольские озёра*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:rsidR="00000000" w:rsidDel="00000000" w:rsidP="00000000" w:rsidRDefault="00000000" w:rsidRPr="00000000" w14:paraId="0000001E">
      <w:pPr>
        <w:ind w:left="-993" w:right="-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bookmarkStart w:colFirst="0" w:colLast="0" w:name="bookmark=id.1fob9t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</w:p>
    <w:p w:rsidR="00000000" w:rsidDel="00000000" w:rsidP="00000000" w:rsidRDefault="00000000" w:rsidRPr="00000000" w14:paraId="00000021">
      <w:pPr>
        <w:widowControl w:val="1"/>
        <w:spacing w:after="11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</w:p>
    <w:p w:rsidR="00000000" w:rsidDel="00000000" w:rsidP="00000000" w:rsidRDefault="00000000" w:rsidRPr="00000000" w14:paraId="00000022">
      <w:pPr>
        <w:widowControl w:val="1"/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3">
      <w:pPr>
        <w:widowControl w:val="1"/>
        <w:spacing w:after="120" w:lineRule="auto"/>
        <w:ind w:hanging="2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6">
      <w:pPr>
        <w:spacing w:line="360" w:lineRule="auto"/>
        <w:ind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7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hanging="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11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авто 500 км, катер 80 км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авто 700 км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Во время этого сплава запланировано прохождение двух порогов - Ирадаш и Семинский, в конце сплава - посещение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8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9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10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11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Трансфер в аэропорт 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</w:p>
    <w:p w:rsidR="00000000" w:rsidDel="00000000" w:rsidP="00000000" w:rsidRDefault="00000000" w:rsidRPr="00000000" w14:paraId="00000083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проживание в отеле по программе</w:t>
        <w:br w:type="textWrapping"/>
        <w:t xml:space="preserve"> - чек-ин в отель 14:00, чек-аут 10:00</w:t>
      </w:r>
    </w:p>
    <w:p w:rsidR="00000000" w:rsidDel="00000000" w:rsidP="00000000" w:rsidRDefault="00000000" w:rsidRPr="00000000" w14:paraId="00000088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highlight w:val="white"/>
        </w:rPr>
      </w:pPr>
      <w:bookmarkStart w:colFirst="0" w:colLast="0" w:name="_heading=h.tyjcwt" w:id="4"/>
      <w:bookmarkEnd w:id="4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+3000 руб./ночь</w:t>
        <w:br w:type="textWrapping"/>
        <w:t xml:space="preserve">- 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Камышлинский водопад.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к небольшому, но очень эффектному каскадному водопаду, высотой около 9 м. Прогулка по сосновому бору, вдоль левого берега реки Катунь. На левый берег переход через подвесной мост.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bookmarkStart w:colFirst="0" w:colLast="0" w:name="_heading=h.3dy6vkm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color w:val="111111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lineRule="auto"/>
        <w:rPr>
          <w:rFonts w:ascii="Calibri" w:cs="Calibri" w:eastAsia="Calibri" w:hAnsi="Calibri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after="195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ВАЖНО: </w:t>
      </w:r>
    </w:p>
    <w:p w:rsidR="00000000" w:rsidDel="00000000" w:rsidP="00000000" w:rsidRDefault="00000000" w:rsidRPr="00000000" w14:paraId="0000009F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Предполагаемое время прилета гостей в первый день программы - до 10:30. </w:t>
      </w:r>
    </w:p>
    <w:p w:rsidR="00000000" w:rsidDel="00000000" w:rsidP="00000000" w:rsidRDefault="00000000" w:rsidRPr="00000000" w14:paraId="000000A0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A1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A3">
      <w:pPr>
        <w:widowControl w:val="1"/>
        <w:numPr>
          <w:ilvl w:val="0"/>
          <w:numId w:val="4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из Горно-Алтайска:</w:t>
      </w:r>
    </w:p>
    <w:p w:rsidR="00000000" w:rsidDel="00000000" w:rsidP="00000000" w:rsidRDefault="00000000" w:rsidRPr="00000000" w14:paraId="000000A4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Фольксваген поло (до 3 мест) - 3000 ;</w:t>
      </w:r>
    </w:p>
    <w:p w:rsidR="00000000" w:rsidDel="00000000" w:rsidP="00000000" w:rsidRDefault="00000000" w:rsidRPr="00000000" w14:paraId="000000A5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Ниссан Альмера (до 3 мест) - 3500;</w:t>
      </w:r>
    </w:p>
    <w:p w:rsidR="00000000" w:rsidDel="00000000" w:rsidP="00000000" w:rsidRDefault="00000000" w:rsidRPr="00000000" w14:paraId="000000A6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Камри и ей подобные (до 3 мест) - 5000;</w:t>
      </w:r>
    </w:p>
    <w:p w:rsidR="00000000" w:rsidDel="00000000" w:rsidP="00000000" w:rsidRDefault="00000000" w:rsidRPr="00000000" w14:paraId="000000A7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Микроавтобус (до 7 мест) - 6000.</w:t>
      </w:r>
    </w:p>
    <w:p w:rsidR="00000000" w:rsidDel="00000000" w:rsidP="00000000" w:rsidRDefault="00000000" w:rsidRPr="00000000" w14:paraId="000000A8">
      <w:pPr>
        <w:widowControl w:val="1"/>
        <w:numPr>
          <w:ilvl w:val="0"/>
          <w:numId w:val="2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из других городов (легковой автомобиль, удобный для троих человек с багажом - Кия Рио / Фольксваген Поло или подобный:</w:t>
      </w:r>
    </w:p>
    <w:p w:rsidR="00000000" w:rsidDel="00000000" w:rsidP="00000000" w:rsidRDefault="00000000" w:rsidRPr="00000000" w14:paraId="000000A9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Бийск - 6000;</w:t>
      </w:r>
    </w:p>
    <w:p w:rsidR="00000000" w:rsidDel="00000000" w:rsidP="00000000" w:rsidRDefault="00000000" w:rsidRPr="00000000" w14:paraId="000000AA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Барнаул - 12000;</w:t>
      </w:r>
    </w:p>
    <w:p w:rsidR="00000000" w:rsidDel="00000000" w:rsidP="00000000" w:rsidRDefault="00000000" w:rsidRPr="00000000" w14:paraId="000000AB">
      <w:pPr>
        <w:widowControl w:val="1"/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Новосибирск - 17500.</w:t>
      </w:r>
    </w:p>
    <w:p w:rsidR="00000000" w:rsidDel="00000000" w:rsidP="00000000" w:rsidRDefault="00000000" w:rsidRPr="00000000" w14:paraId="000000AC">
      <w:pPr>
        <w:spacing w:after="120" w:lineRule="auto"/>
        <w:rPr>
          <w:rFonts w:ascii="Calibri" w:cs="Calibri" w:eastAsia="Calibri" w:hAnsi="Calibri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</w:p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widowControl w:val="0"/>
    </w:pPr>
    <w:rPr>
      <w:rFonts w:ascii="Liberation Serif;Times New Roma" w:cs="FreeSans" w:eastAsia="Droid Sans Fallback;Times New R" w:hAnsi="Liberation Serif;Times New Roma"/>
      <w:color w:val="00000a"/>
      <w:sz w:val="24"/>
    </w:rPr>
  </w:style>
  <w:style w:type="paragraph" w:styleId="2">
    <w:name w:val="heading 2"/>
    <w:basedOn w:val="a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Calibri" w:cs="Calibri" w:hAnsi="Calibri"/>
      <w:b w:val="1"/>
      <w:color w:val="000000"/>
      <w:sz w:val="20"/>
      <w:szCs w:val="20"/>
      <w:lang w:val="en-US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a3" w:customStyle="1">
    <w:name w:val="Основной шрифт"/>
    <w:qFormat w:val="1"/>
  </w:style>
  <w:style w:type="character" w:styleId="a4" w:customStyle="1">
    <w:name w:val="Верхний колонтитул Знак"/>
    <w:basedOn w:val="a3"/>
    <w:qFormat w:val="1"/>
  </w:style>
  <w:style w:type="character" w:styleId="a5" w:customStyle="1">
    <w:name w:val="Текст выноски Знак"/>
    <w:qFormat w:val="1"/>
    <w:rPr>
      <w:rFonts w:ascii="Lucida Grande CY" w:cs="Lucida Grande CY" w:hAnsi="Lucida Grande CY"/>
      <w:sz w:val="18"/>
      <w:szCs w:val="18"/>
    </w:rPr>
  </w:style>
  <w:style w:type="character" w:styleId="-" w:customStyle="1">
    <w:name w:val="Интернет-ссылка"/>
    <w:rPr>
      <w:color w:val="0000ff"/>
      <w:u w:val="single"/>
      <w:lang w:bidi="uz-Cyrl-UZ" w:val="uz-Cyrl-UZ"/>
    </w:rPr>
  </w:style>
  <w:style w:type="character" w:styleId="5" w:customStyle="1">
    <w:name w:val="Заголовок 5 Знак"/>
    <w:qFormat w:val="1"/>
    <w:rPr>
      <w:rFonts w:ascii="Verdana" w:cs="Arial Unicode MS" w:eastAsia="Arial Unicode MS" w:hAnsi="Verdana"/>
      <w:b w:val="1"/>
      <w:sz w:val="18"/>
      <w:szCs w:val="24"/>
    </w:rPr>
  </w:style>
  <w:style w:type="character" w:styleId="WW8Num3z0" w:customStyle="1">
    <w:name w:val="WW8Num3z0"/>
    <w:qFormat w:val="1"/>
    <w:rPr>
      <w:rFonts w:ascii="Helvetica;Arial" w:cs="Helvetica Neue" w:eastAsia="Times New Roman" w:hAnsi="Helvetica;Arial"/>
      <w:b w:val="0"/>
      <w:i w:val="0"/>
      <w:sz w:val="21"/>
      <w:szCs w:val="21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3z3" w:customStyle="1">
    <w:name w:val="WW8Num3z3"/>
    <w:qFormat w:val="1"/>
    <w:rPr>
      <w:rFonts w:ascii="Symbol" w:cs="Symbol" w:hAnsi="Symbol"/>
    </w:rPr>
  </w:style>
  <w:style w:type="character" w:styleId="apple-converted-space" w:customStyle="1">
    <w:name w:val="apple-converted-space"/>
    <w:basedOn w:val="a3"/>
    <w:qFormat w:val="1"/>
  </w:style>
  <w:style w:type="character" w:styleId="a6">
    <w:name w:val="Emphasis"/>
    <w:qFormat w:val="1"/>
    <w:rPr>
      <w:i w:val="1"/>
      <w:iCs w:val="1"/>
    </w:rPr>
  </w:style>
  <w:style w:type="character" w:styleId="a7" w:customStyle="1">
    <w:name w:val="Основной текст Знак"/>
    <w:qFormat w:val="1"/>
    <w:rPr>
      <w:color w:val="00000a"/>
    </w:rPr>
  </w:style>
  <w:style w:type="character" w:styleId="a8">
    <w:name w:val="Hyperlink"/>
    <w:qFormat w:val="1"/>
    <w:rPr>
      <w:color w:val="0000ff"/>
      <w:u w:val="single"/>
    </w:rPr>
  </w:style>
  <w:style w:type="character" w:styleId="a9" w:customStyle="1">
    <w:name w:val="Посещённая гиперссылка"/>
    <w:rPr>
      <w:color w:val="800000"/>
      <w:u w:val="single"/>
    </w:rPr>
  </w:style>
  <w:style w:type="paragraph" w:styleId="aa">
    <w:name w:val="Title"/>
    <w:basedOn w:val="a"/>
    <w:next w:val="ab"/>
    <w:uiPriority w:val="10"/>
    <w:qFormat w:val="1"/>
    <w:pPr>
      <w:keepNext w:val="1"/>
      <w:spacing w:after="120" w:before="240"/>
    </w:pPr>
    <w:rPr>
      <w:rFonts w:ascii="Liberation Sans;Arial" w:cs="Liberation Sans;Arial" w:hAnsi="Liberation Sans;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e">
    <w:name w:val="index heading"/>
    <w:basedOn w:val="a"/>
    <w:qFormat w:val="1"/>
    <w:pPr>
      <w:suppressLineNumbers w:val="1"/>
    </w:pPr>
  </w:style>
  <w:style w:type="paragraph" w:styleId="1" w:customStyle="1">
    <w:name w:val="Название1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f" w:customStyle="1">
    <w:name w:val="Верхний и нижний колонтитулы"/>
    <w:basedOn w:val="a"/>
    <w:qFormat w:val="1"/>
  </w:style>
  <w:style w:type="paragraph" w:styleId="af0">
    <w:name w:val="foot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1">
    <w:name w:val="head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2">
    <w:name w:val="Balloon Text"/>
    <w:basedOn w:val="a"/>
    <w:qFormat w:val="1"/>
    <w:rPr>
      <w:rFonts w:ascii="Lucida Grande CY" w:cs="Lucida Grande CY" w:hAnsi="Lucida Grande CY"/>
      <w:sz w:val="18"/>
      <w:szCs w:val="18"/>
    </w:rPr>
  </w:style>
  <w:style w:type="paragraph" w:styleId="11" w:customStyle="1">
    <w:name w:val="Название11"/>
    <w:basedOn w:val="a"/>
    <w:qFormat w:val="1"/>
    <w:pPr>
      <w:ind w:left="100"/>
      <w:jc w:val="center"/>
    </w:pPr>
    <w:rPr>
      <w:rFonts w:ascii="Arial Narrow" w:cs="Arial Narrow" w:hAnsi="Arial Narrow"/>
      <w:b w:val="1"/>
      <w:bCs w:val="1"/>
      <w:color w:val="ff0000"/>
      <w:sz w:val="48"/>
      <w:szCs w:val="48"/>
    </w:rPr>
  </w:style>
  <w:style w:type="paragraph" w:styleId="af3">
    <w:name w:val="List Paragraph"/>
    <w:basedOn w:val="a"/>
    <w:qFormat w:val="1"/>
    <w:pPr>
      <w:spacing w:after="200"/>
      <w:ind w:left="720"/>
      <w:contextualSpacing w:val="1"/>
    </w:pPr>
  </w:style>
  <w:style w:type="paragraph" w:styleId="3">
    <w:name w:val="Body Text Indent 3"/>
    <w:basedOn w:val="a"/>
    <w:qFormat w:val="1"/>
    <w:pPr>
      <w:ind w:left="-540"/>
      <w:jc w:val="both"/>
    </w:pPr>
    <w:rPr>
      <w:rFonts w:ascii="Times New Roman" w:cs="Times New Roman" w:hAnsi="Times New Roman"/>
      <w:iCs w:val="1"/>
    </w:rPr>
  </w:style>
  <w:style w:type="paragraph" w:styleId="af4" w:customStyle="1">
    <w:name w:val="Текст блока"/>
    <w:basedOn w:val="a"/>
    <w:qFormat w:val="1"/>
    <w:pPr>
      <w:ind w:left="113" w:right="-57"/>
      <w:jc w:val="both"/>
    </w:pPr>
    <w:rPr>
      <w:rFonts w:ascii="Times New Roman" w:cs="Times New Roman" w:hAnsi="Times New Roman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character" w:styleId="UnresolvedMention" w:customStyle="1">
    <w:name w:val="Unresolved Mention"/>
    <w:basedOn w:val="a0"/>
    <w:uiPriority w:val="99"/>
    <w:semiHidden w:val="1"/>
    <w:unhideWhenUsed w:val="1"/>
    <w:rsid w:val="00884778"/>
    <w:rPr>
      <w:color w:val="605e5c"/>
      <w:shd w:color="auto" w:fill="e1dfdd" w:val="clear"/>
    </w:rPr>
  </w:style>
  <w:style w:type="character" w:styleId="10" w:customStyle="1">
    <w:name w:val="Гиперссылка1"/>
    <w:rsid w:val="0095658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T0Kr5SkS/lGEb/TM1gj9JZm5g==">AMUW2mXIEnveutkGo1fD2CFNdi2S8fEDksnJFpx3vqO0HGcl+xpBbT6CKCTjt2dWsLBBe0oL1ix4xw04U36YejRXSs34dpip72eHaPnCZPB8ZCNfdtRggDbV+50CRMdSYXpNlqsIf+3NZLbIqx6zJ+rtybv8vjpXB2gMP6gRKGa3Q3ejjB8fvMGbHe5IGj7fCgvRShWUIyLH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2018-12-13T00:12:00Z</dcterms:created>
  <dc:creator>Dmitry Karelin</dc:creator>
</cp:coreProperties>
</file>